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eth9i6hpqgax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CRONOPROGRAMMA LAVORI</w:t>
      </w:r>
    </w:p>
    <w:p w:rsidR="00000000" w:rsidDel="00000000" w:rsidP="00000000" w:rsidRDefault="00000000" w:rsidRPr="00000000" w14:paraId="00000002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bookmarkStart w:colFirst="0" w:colLast="0" w:name="_heading=h.ayirirmend1y" w:id="1"/>
      <w:bookmarkEnd w:id="1"/>
      <w:r w:rsidDel="00000000" w:rsidR="00000000" w:rsidRPr="00000000">
        <w:rPr>
          <w:rtl w:val="0"/>
        </w:rPr>
      </w:r>
    </w:p>
    <w:bookmarkStart w:colFirst="0" w:colLast="0" w:name="bookmark=id.mid7si7cg5rc" w:id="2"/>
    <w:bookmarkEnd w:id="2"/>
    <w:p w:rsidR="00000000" w:rsidDel="00000000" w:rsidP="00000000" w:rsidRDefault="00000000" w:rsidRPr="00000000" w14:paraId="00000003">
      <w:pPr>
        <w:pStyle w:val="Heading3"/>
        <w:spacing w:after="0" w:before="0" w:line="276" w:lineRule="auto"/>
        <w:rPr>
          <w:rFonts w:ascii="Arial" w:cs="Arial" w:eastAsia="Arial" w:hAnsi="Arial"/>
          <w:b w:val="1"/>
          <w:bCs w:val="1"/>
        </w:rPr>
      </w:pPr>
      <w:bookmarkStart w:colFirst="0" w:colLast="0" w:name="_heading=h.w1pez2qtmw4k" w:id="3"/>
      <w:bookmarkEnd w:id="3"/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Riqualificazione Spogliatoi – Impianto Sportivo “Palaverde”</w:t>
      </w:r>
    </w:p>
    <w:p w:rsidR="00000000" w:rsidDel="00000000" w:rsidP="00000000" w:rsidRDefault="00000000" w:rsidRPr="00000000" w14:paraId="00000004">
      <w:pPr>
        <w:spacing w:after="0" w:before="0" w:line="276" w:lineRule="auto"/>
        <w:rPr>
          <w:sz w:val="28"/>
          <w:szCs w:val="28"/>
          <w:highlight w:val="white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Proponente:</w:t>
      </w:r>
      <w:r w:rsidDel="00000000" w:rsidR="00000000" w:rsidRPr="00000000">
        <w:rPr>
          <w:sz w:val="28"/>
          <w:szCs w:val="28"/>
          <w:rtl w:val="0"/>
        </w:rPr>
        <w:t xml:space="preserve"> ASD Dinamica Pensare Sport</w:t>
        <w:br w:type="textWrapping"/>
      </w:r>
      <w:r w:rsidDel="00000000" w:rsidR="00000000" w:rsidRPr="00000000">
        <w:rPr>
          <w:b w:val="1"/>
          <w:bCs w:val="1"/>
          <w:sz w:val="28"/>
          <w:szCs w:val="28"/>
          <w:highlight w:val="white"/>
          <w:rtl w:val="0"/>
        </w:rPr>
        <w:t xml:space="preserve">Comune di Passirano</w:t>
      </w:r>
      <w:r w:rsidDel="00000000" w:rsidR="00000000" w:rsidRPr="00000000">
        <w:rPr>
          <w:sz w:val="28"/>
          <w:szCs w:val="28"/>
          <w:shd w:fill="fff2cc" w:val="clear"/>
          <w:rtl w:val="0"/>
        </w:rPr>
        <w:br w:type="textWrapping"/>
      </w: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Durata stimata complessiva: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8 settimane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ox4cb61na9bb" w:id="4"/>
    <w:bookmarkEnd w:id="4"/>
    <w:p w:rsidR="00000000" w:rsidDel="00000000" w:rsidP="00000000" w:rsidRDefault="00000000" w:rsidRPr="00000000" w14:paraId="00000006">
      <w:pPr>
        <w:pStyle w:val="Heading1"/>
        <w:spacing w:after="0" w:before="0" w:line="276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1. PREMESSA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presente cronoprogramma definisce le tempistiche e le fasi operative per l’intervento di riqualificazione dei quattro spogliatoi (due maggiori e due minori) dell’impianto sportivo “Palaverde”.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L’intervento rientra nell’ambito della concessione di gestione ex art. 5 D.Lgs. 38/2021 ed è integralmente finanziato da ASD Dinamica Pensare Sport.</w:t>
      </w:r>
    </w:p>
    <w:p w:rsidR="00000000" w:rsidDel="00000000" w:rsidP="00000000" w:rsidRDefault="00000000" w:rsidRPr="00000000" w14:paraId="00000009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dpqz8cxu453n" w:id="5"/>
    <w:bookmarkEnd w:id="5"/>
    <w:p w:rsidR="00000000" w:rsidDel="00000000" w:rsidP="00000000" w:rsidRDefault="00000000" w:rsidRPr="00000000" w14:paraId="0000000A">
      <w:pPr>
        <w:pStyle w:val="Heading1"/>
        <w:spacing w:after="0" w:before="0" w:line="276" w:lineRule="auto"/>
        <w:rPr>
          <w:rFonts w:ascii="Arial" w:cs="Arial" w:eastAsia="Arial" w:hAnsi="Arial"/>
          <w:b w:val="1"/>
          <w:bCs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32"/>
          <w:szCs w:val="32"/>
          <w:rtl w:val="0"/>
        </w:rPr>
        <w:t xml:space="preserve">2. CRONOPROGRAMMA DELLE ATTIVITA’ </w:t>
      </w:r>
    </w:p>
    <w:p w:rsidR="00000000" w:rsidDel="00000000" w:rsidP="00000000" w:rsidRDefault="00000000" w:rsidRPr="00000000" w14:paraId="0000000B">
      <w:pPr>
        <w:pStyle w:val="Heading1"/>
        <w:spacing w:after="0" w:before="0" w:line="276" w:lineRule="auto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seguito si riportano le fasi operative suddivise per settimane, in linea con le buone pratiche di programmazione lavori per opere interne e prive di complessità strutturale.</w:t>
      </w:r>
    </w:p>
    <w:p w:rsidR="00000000" w:rsidDel="00000000" w:rsidP="00000000" w:rsidRDefault="00000000" w:rsidRPr="00000000" w14:paraId="0000000C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2fnd05tazo4m" w:id="6"/>
    <w:bookmarkEnd w:id="6"/>
    <w:p w:rsidR="00000000" w:rsidDel="00000000" w:rsidP="00000000" w:rsidRDefault="00000000" w:rsidRPr="00000000" w14:paraId="0000000D">
      <w:pPr>
        <w:pStyle w:val="Heading2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FASE 1 – PROGETTAZIONE E AUTORIZZAZIONI</w:t>
      </w:r>
      <w:r w:rsidDel="00000000" w:rsidR="00000000" w:rsidRPr="00000000">
        <w:rPr>
          <w:rtl w:val="0"/>
        </w:rPr>
      </w:r>
    </w:p>
    <w:bookmarkStart w:colFirst="0" w:colLast="0" w:name="bookmark=id.l502lmth1p6b" w:id="7"/>
    <w:bookmarkEnd w:id="7"/>
    <w:p w:rsidR="00000000" w:rsidDel="00000000" w:rsidP="00000000" w:rsidRDefault="00000000" w:rsidRPr="00000000" w14:paraId="0000000E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Settimane 1–2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1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Rilievi e verifiche preliminari degli spazi esistenti;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Redazione del progetto esecutivo architettonico e impiantistico;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Predisposizione della documentazione per la sicurezza (POS / PSC, ove richiesto).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2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Trasmissione al Comune della documentazione progettuale;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Eventuali integrazioni richieste dagli uffici tecnici;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Pianificazione </w:t>
      </w:r>
      <w:r w:rsidDel="00000000" w:rsidR="00000000" w:rsidRPr="00000000">
        <w:rPr>
          <w:rtl w:val="0"/>
        </w:rPr>
        <w:t xml:space="preserve">dell'accesso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cantiere e definizione operativa del cronoprogramma finale.</w:t>
      </w:r>
    </w:p>
    <w:p w:rsidR="00000000" w:rsidDel="00000000" w:rsidP="00000000" w:rsidRDefault="00000000" w:rsidRPr="00000000" w14:paraId="00000017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yb0qlly74wgu" w:id="8"/>
    <w:bookmarkEnd w:id="8"/>
    <w:p w:rsidR="00000000" w:rsidDel="00000000" w:rsidP="00000000" w:rsidRDefault="00000000" w:rsidRPr="00000000" w14:paraId="00000018">
      <w:pPr>
        <w:pStyle w:val="Heading2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FASE 2 – ALLESTIMENTO CANTIERE E DEMOLIZIONI</w:t>
      </w:r>
      <w:r w:rsidDel="00000000" w:rsidR="00000000" w:rsidRPr="00000000">
        <w:rPr>
          <w:rtl w:val="0"/>
        </w:rPr>
      </w:r>
    </w:p>
    <w:bookmarkStart w:colFirst="0" w:colLast="0" w:name="bookmark=id.ges5elc1cn12" w:id="9"/>
    <w:bookmarkEnd w:id="9"/>
    <w:p w:rsidR="00000000" w:rsidDel="00000000" w:rsidP="00000000" w:rsidRDefault="00000000" w:rsidRPr="00000000" w14:paraId="00000019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Settimane 3–4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3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Installazione cantiere e delimitazione aree di lavoro;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Messa in sicurezza degli ambienti;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Scollegamento e disattivazione impianti esistenti.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4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Demolizione e rimozione rivestimenti, pavimenti, sanitari e docce;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Smontaggio vecchi impianti idraulici ed elettrici;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Smaltimento materiali secondo normativa vigente.</w:t>
      </w:r>
    </w:p>
    <w:p w:rsidR="00000000" w:rsidDel="00000000" w:rsidP="00000000" w:rsidRDefault="00000000" w:rsidRPr="00000000" w14:paraId="00000022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tjvcvsaunjfo" w:id="10"/>
    <w:bookmarkEnd w:id="10"/>
    <w:p w:rsidR="00000000" w:rsidDel="00000000" w:rsidP="00000000" w:rsidRDefault="00000000" w:rsidRPr="00000000" w14:paraId="00000023">
      <w:pPr>
        <w:pStyle w:val="Heading2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FASE 3 – RICOSTRUZIONE E IMPIANTISTICA</w:t>
      </w:r>
      <w:r w:rsidDel="00000000" w:rsidR="00000000" w:rsidRPr="00000000">
        <w:rPr>
          <w:rtl w:val="0"/>
        </w:rPr>
      </w:r>
    </w:p>
    <w:bookmarkStart w:colFirst="0" w:colLast="0" w:name="bookmark=id.q9q16xlaxoxh" w:id="11"/>
    <w:bookmarkEnd w:id="11"/>
    <w:p w:rsidR="00000000" w:rsidDel="00000000" w:rsidP="00000000" w:rsidRDefault="00000000" w:rsidRPr="00000000" w14:paraId="00000024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Settimane 5–6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5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Realizzazione e adeguamento tramezzi interni (se previsti);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Installazione nuove linee idrauliche (tubazioni, scarichi, predisposizioni docce);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6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Posa massetti e livellamenti;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Prime verifiche funzionali degli impianti.</w:t>
      </w:r>
    </w:p>
    <w:p w:rsidR="00000000" w:rsidDel="00000000" w:rsidP="00000000" w:rsidRDefault="00000000" w:rsidRPr="00000000" w14:paraId="0000002B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kujlz5yf6iaq" w:id="12"/>
    <w:bookmarkEnd w:id="12"/>
    <w:p w:rsidR="00000000" w:rsidDel="00000000" w:rsidP="00000000" w:rsidRDefault="00000000" w:rsidRPr="00000000" w14:paraId="0000002C">
      <w:pPr>
        <w:pStyle w:val="Heading2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FASE 4 – FINITURE INTERNE E INSTALLAZIONI</w:t>
      </w:r>
      <w:r w:rsidDel="00000000" w:rsidR="00000000" w:rsidRPr="00000000">
        <w:rPr>
          <w:rtl w:val="0"/>
        </w:rPr>
      </w:r>
    </w:p>
    <w:bookmarkStart w:colFirst="0" w:colLast="0" w:name="bookmark=id.k8v1aaehae9t" w:id="13"/>
    <w:bookmarkEnd w:id="13"/>
    <w:p w:rsidR="00000000" w:rsidDel="00000000" w:rsidP="00000000" w:rsidRDefault="00000000" w:rsidRPr="00000000" w14:paraId="0000002D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Settimane 7–8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7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Posa pavimenti e rivestimenti;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Installazione sanitari, rubinetterie e docce;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Verniciature e finiture interne.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Settimana 8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Rei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nstallazione arredi spogliatoi (panche, armadietti, appendiabiti);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Collegamenti finali degli impianti;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Pulizia approfondita in vista del collaudo.</w:t>
      </w:r>
    </w:p>
    <w:p w:rsidR="00000000" w:rsidDel="00000000" w:rsidP="00000000" w:rsidRDefault="00000000" w:rsidRPr="00000000" w14:paraId="0000003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nsugzxqleine" w:id="14"/>
    <w:bookmarkEnd w:id="14"/>
    <w:p w:rsidR="00000000" w:rsidDel="00000000" w:rsidP="00000000" w:rsidRDefault="00000000" w:rsidRPr="00000000" w14:paraId="00000037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rtl w:val="0"/>
        </w:rPr>
        <w:t xml:space="preserve">FASE 5 – COLLAUDO E CONSEGNA DEI LOCALI</w:t>
      </w:r>
      <w:r w:rsidDel="00000000" w:rsidR="00000000" w:rsidRPr="00000000">
        <w:rPr>
          <w:rtl w:val="0"/>
        </w:rPr>
      </w:r>
    </w:p>
    <w:bookmarkStart w:colFirst="0" w:colLast="0" w:name="bookmark=id.kvtd4rv2hztv" w:id="15"/>
    <w:bookmarkEnd w:id="15"/>
    <w:p w:rsidR="00000000" w:rsidDel="00000000" w:rsidP="00000000" w:rsidRDefault="00000000" w:rsidRPr="00000000" w14:paraId="00000038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Fine Settimana 8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Collaudo funzionale impianti idraulici;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Verifica della conformità delle opere alle normative vigenti;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Eventuali piccole correzioni post–collaudo;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Consegna formale al Comune con verbale riepilogativo.</w:t>
      </w:r>
    </w:p>
    <w:p w:rsidR="00000000" w:rsidDel="00000000" w:rsidP="00000000" w:rsidRDefault="00000000" w:rsidRPr="00000000" w14:paraId="0000003D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218y1iwped96" w:id="16"/>
    <w:bookmarkEnd w:id="16"/>
    <w:p w:rsidR="00000000" w:rsidDel="00000000" w:rsidP="00000000" w:rsidRDefault="00000000" w:rsidRPr="00000000" w14:paraId="0000003E">
      <w:pPr>
        <w:pStyle w:val="Heading1"/>
        <w:spacing w:after="0" w:before="0" w:line="276" w:lineRule="auto"/>
        <w:rPr>
          <w:rFonts w:ascii="Arial" w:cs="Arial" w:eastAsia="Arial" w:hAnsi="Arial"/>
          <w:b w:val="1"/>
          <w:bCs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32"/>
          <w:szCs w:val="32"/>
          <w:rtl w:val="0"/>
        </w:rPr>
        <w:t xml:space="preserve">3. DURATA COMPLESSIVA DELL’INTERVENTO </w:t>
      </w:r>
    </w:p>
    <w:p w:rsidR="00000000" w:rsidDel="00000000" w:rsidP="00000000" w:rsidRDefault="00000000" w:rsidRPr="00000000" w14:paraId="0000003F">
      <w:pPr>
        <w:pStyle w:val="Heading1"/>
        <w:spacing w:after="0" w:before="0" w:line="276" w:lineRule="auto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L’intervento ha una durata stimata pari a 8 settimane (2 mesi).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attività sono organizzate per minimizzare l’impatto sulla fruizione del Palazzetto e consentire, ove possibile, la continuità delle attività sportive compatibili con l’area di cantiere.</w:t>
      </w:r>
    </w:p>
    <w:p w:rsidR="00000000" w:rsidDel="00000000" w:rsidP="00000000" w:rsidRDefault="00000000" w:rsidRPr="00000000" w14:paraId="00000041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s4syof6j3ylj" w:id="17"/>
    <w:bookmarkEnd w:id="17"/>
    <w:p w:rsidR="00000000" w:rsidDel="00000000" w:rsidP="00000000" w:rsidRDefault="00000000" w:rsidRPr="00000000" w14:paraId="00000042">
      <w:pPr>
        <w:pStyle w:val="Heading1"/>
        <w:spacing w:after="0" w:before="0" w:line="276" w:lineRule="auto"/>
        <w:rPr>
          <w:rFonts w:ascii="Arial" w:cs="Arial" w:eastAsia="Arial" w:hAnsi="Arial"/>
          <w:b w:val="1"/>
          <w:bCs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32"/>
          <w:szCs w:val="32"/>
          <w:rtl w:val="0"/>
        </w:rPr>
        <w:t xml:space="preserve">4. NOTA FINALE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presente cronoprogramma potrà essere aggiornato in fase esecutiva, previo confronto con il Comune, in funzione delle effettive esigenze di cantiere, delle condizioni operative e dell’approvvigionamento materiali.</w:t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i8HNTg2KyJpU/zJePyofeD728A==">CgMxLjAyD2lkLmV0aDlpNmhwcWdheDIOaC5heWlyaXJtZW5kMXkyD2lkLm1pZDdzaTdjZzVyYzIOaC53MXBlejJxdG13NGsyD2lkLm94NGNiNjFuYTliYjIPaWQuZHBxejhjeHU0NTNuMg9pZC4yZm5kMDV0YXpvNG0yD2lkLmw1MDJsbXRoMXA2YjIPaWQueWIwcWxseTc0d2d1Mg9pZC5nZXM1ZWxjMWNuMTIyD2lkLnRqdmN2c2F1bmpmbzIPaWQucTlxMTZ4bGF4b3hoMg9pZC5rdWpsejV5ZjZpYXEyD2lkLms4djFhYWVoYWU5dDIPaWQubnN1Z3p4cWxlaW5lMg9pZC5rdnRkNHJ2Mmh6dHYyD2lkLjIxOHkxaXdwZWQ5NjIPaWQuczRzeW9mNmozeWxqOAByITE2eGNfaGRNRDc4cjRGdnloTW1kcTBoZXN0ZWNCdkRL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2025-12-04T11:02:00Z</dcterms:created>
  <dc:creator>Paola Perani</dc:creator>
</cp:coreProperties>
</file>